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A37B1D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37B1D"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8.4pt;margin-top:29.35pt;width:430.5pt;height:158.6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FE5E60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E5E6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MŁODZI DLA NAUKI</w:t>
                        </w:r>
                        <w:r w:rsidR="00BC7D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1F7CC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- </w:t>
                        </w:r>
                        <w:r w:rsidR="00BC7D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CZĘŚĆ II</w:t>
                        </w:r>
                        <w:r w:rsidR="0002465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I</w:t>
                        </w:r>
                      </w:p>
                      <w:p w:rsidR="00FE5E60" w:rsidRPr="003D2848" w:rsidRDefault="00BC7DAE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D2848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3D2848" w:rsidRPr="003D2848" w:rsidRDefault="003D2848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E5E60" w:rsidRPr="003D2848" w:rsidRDefault="00024651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Zakopane 21-22 kwiecień</w:t>
                        </w:r>
                        <w:r w:rsidR="00BC7DAE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FE5E60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CD442B" w:rsidRPr="00FE48E5" w:rsidRDefault="00CD442B" w:rsidP="00024651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024651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Willa u Franka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3A2" w:rsidRPr="006663A2" w:rsidRDefault="003D2848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„MŁODZI DLA NAUKI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CZĘŚĆ II</w:t>
            </w:r>
            <w:r w:rsidR="0002465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im publikowania swych artykułów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6663A2" w:rsidRDefault="003D2848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ubieganiu się o stypendium </w:t>
            </w:r>
            <w:proofErr w:type="spellStart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MNiSW</w:t>
            </w:r>
            <w:proofErr w:type="spellEnd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stypendia naukowe, projakościowe i inne.</w:t>
            </w:r>
          </w:p>
          <w:p w:rsidR="00BC7DAE" w:rsidRDefault="00BC7DAE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663A2" w:rsidRDefault="006663A2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6741" w:rsidRPr="00F65246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F65246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              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024651">
              <w:rPr>
                <w:color w:val="000000"/>
                <w:sz w:val="26"/>
                <w:szCs w:val="26"/>
              </w:rPr>
              <w:t>lista B) za 2016</w:t>
            </w:r>
            <w:r w:rsidR="00F65246">
              <w:rPr>
                <w:color w:val="000000"/>
                <w:sz w:val="26"/>
                <w:szCs w:val="26"/>
              </w:rPr>
              <w:t xml:space="preserve"> rok.</w:t>
            </w:r>
          </w:p>
          <w:p w:rsidR="006D6741" w:rsidRPr="006D6741" w:rsidRDefault="00F65246" w:rsidP="00F6524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287329" w:rsidRPr="00F65246" w:rsidRDefault="00287329" w:rsidP="006663A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60704C" w:rsidRPr="00FF7590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P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Tomasz Piotrowski</w:t>
            </w:r>
            <w:r w:rsidR="00C93AD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Uniwersytet Łódzki, Wydział Zarządzania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Anna Piotrowska</w:t>
            </w:r>
            <w:r w:rsidR="00C93AD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Uniwersytet Łódzki, Wydział Zarządzania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Damian Jasiński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648C" w:rsidRDefault="00EF1B23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024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trwa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dnia </w:t>
            </w:r>
            <w:r w:rsidR="0002465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 kwietnia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</w:t>
            </w:r>
            <w:r w:rsidR="0002465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7590" w:rsidRPr="00FF7590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</w:t>
            </w:r>
            <w:r w:rsidR="0002465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 nadsyłania artykułów mija 08.04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.2017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., osoby które nie nadeślą artykułów w terminie proszone są o ich późniejsze przesłanie w celu ich publikacji w monogr</w:t>
            </w:r>
            <w:r w:rsidR="0002465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afii pokonferencyjnej w czerwcu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6F686D" w:rsidRDefault="006F686D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BC7DAE" w:rsidRDefault="0060704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1F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299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,00 zł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w Konferencji proszę uiścić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A07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46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 kwietnia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</w:t>
            </w:r>
            <w:r w:rsidR="000246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845A4" w:rsidRDefault="000845A4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obiad</w:t>
            </w:r>
          </w:p>
          <w:p w:rsidR="00BC7DAE" w:rsidRDefault="00BC7DAE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przerwę kawową</w:t>
            </w:r>
          </w:p>
          <w:p w:rsidR="00BC7DAE" w:rsidRDefault="0038648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prezent dla każdego z uczestników</w:t>
            </w:r>
          </w:p>
          <w:p w:rsidR="001F7CC5" w:rsidRDefault="001F7CC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kolację </w:t>
            </w:r>
          </w:p>
          <w:p w:rsidR="00BC7DAE" w:rsidRPr="00024651" w:rsidRDefault="0002465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nocleg</w:t>
            </w:r>
          </w:p>
          <w:p w:rsidR="00D077A5" w:rsidRPr="00652993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651">
              <w:rPr>
                <w:rFonts w:ascii="Times New Roman" w:hAnsi="Times New Roman" w:cs="Times New Roman"/>
                <w:sz w:val="26"/>
                <w:szCs w:val="26"/>
              </w:rPr>
              <w:t xml:space="preserve"> uczestnictwa biernego (koszt 19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9 zł)</w:t>
            </w:r>
          </w:p>
          <w:p w:rsidR="006D6741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opublikowanie artykułu w Zeszytach Naukowych Seria (400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024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kwietnia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</w:t>
            </w:r>
            <w:r w:rsidR="00024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r.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054D" w:rsidRDefault="009F054D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Pr="00FD48E2" w:rsidRDefault="009A7D0C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48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Wszyscy uczestnicy otrzymują zaświadczenie o czynnym udziale w Konferencji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651" w:rsidRDefault="009A7D0C" w:rsidP="000246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024651" w:rsidRPr="006F686D" w:rsidRDefault="00024651" w:rsidP="000246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CB" w:rsidRDefault="004978CB" w:rsidP="00652993">
      <w:pPr>
        <w:spacing w:line="240" w:lineRule="auto"/>
      </w:pPr>
      <w:r>
        <w:separator/>
      </w:r>
    </w:p>
  </w:endnote>
  <w:endnote w:type="continuationSeparator" w:id="0">
    <w:p w:rsidR="004978CB" w:rsidRDefault="004978CB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A37B1D">
        <w:pPr>
          <w:pStyle w:val="Stopka"/>
          <w:jc w:val="right"/>
        </w:pPr>
        <w:fldSimple w:instr=" PAGE   \* MERGEFORMAT ">
          <w:r w:rsidR="00DD0F28">
            <w:rPr>
              <w:noProof/>
            </w:rPr>
            <w:t>2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CB" w:rsidRDefault="004978CB" w:rsidP="00652993">
      <w:pPr>
        <w:spacing w:line="240" w:lineRule="auto"/>
      </w:pPr>
      <w:r>
        <w:separator/>
      </w:r>
    </w:p>
  </w:footnote>
  <w:footnote w:type="continuationSeparator" w:id="0">
    <w:p w:rsidR="004978CB" w:rsidRDefault="004978CB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651"/>
    <w:rsid w:val="000845A4"/>
    <w:rsid w:val="000A4009"/>
    <w:rsid w:val="000C506A"/>
    <w:rsid w:val="000D128C"/>
    <w:rsid w:val="00135529"/>
    <w:rsid w:val="001361B2"/>
    <w:rsid w:val="00165DFF"/>
    <w:rsid w:val="001D776B"/>
    <w:rsid w:val="001F1B2F"/>
    <w:rsid w:val="001F7CC5"/>
    <w:rsid w:val="00270385"/>
    <w:rsid w:val="00274734"/>
    <w:rsid w:val="00287329"/>
    <w:rsid w:val="00306AAA"/>
    <w:rsid w:val="003252E6"/>
    <w:rsid w:val="003431C3"/>
    <w:rsid w:val="003614C7"/>
    <w:rsid w:val="0038648C"/>
    <w:rsid w:val="003A0F32"/>
    <w:rsid w:val="003B43B9"/>
    <w:rsid w:val="003D2848"/>
    <w:rsid w:val="00400A68"/>
    <w:rsid w:val="00405B88"/>
    <w:rsid w:val="00406DF7"/>
    <w:rsid w:val="00474996"/>
    <w:rsid w:val="004978CB"/>
    <w:rsid w:val="004A1E35"/>
    <w:rsid w:val="004F6962"/>
    <w:rsid w:val="00544E23"/>
    <w:rsid w:val="00575EA9"/>
    <w:rsid w:val="005A145C"/>
    <w:rsid w:val="005C187A"/>
    <w:rsid w:val="005D5389"/>
    <w:rsid w:val="0060704C"/>
    <w:rsid w:val="00652993"/>
    <w:rsid w:val="006663A2"/>
    <w:rsid w:val="006D103C"/>
    <w:rsid w:val="006D6741"/>
    <w:rsid w:val="006E76EB"/>
    <w:rsid w:val="006F686D"/>
    <w:rsid w:val="00810633"/>
    <w:rsid w:val="00886ED9"/>
    <w:rsid w:val="00887C87"/>
    <w:rsid w:val="0091039C"/>
    <w:rsid w:val="00931FD2"/>
    <w:rsid w:val="00934999"/>
    <w:rsid w:val="00992B6F"/>
    <w:rsid w:val="009A7D0C"/>
    <w:rsid w:val="009D6AE9"/>
    <w:rsid w:val="009F054D"/>
    <w:rsid w:val="00A04D72"/>
    <w:rsid w:val="00A37B1D"/>
    <w:rsid w:val="00A82CCB"/>
    <w:rsid w:val="00A83B73"/>
    <w:rsid w:val="00B27C76"/>
    <w:rsid w:val="00B377A7"/>
    <w:rsid w:val="00B62C9F"/>
    <w:rsid w:val="00B94D63"/>
    <w:rsid w:val="00BA7EF9"/>
    <w:rsid w:val="00BC7DAE"/>
    <w:rsid w:val="00BF30B2"/>
    <w:rsid w:val="00BF51BC"/>
    <w:rsid w:val="00C90F43"/>
    <w:rsid w:val="00C93ADB"/>
    <w:rsid w:val="00CA5A07"/>
    <w:rsid w:val="00CA7ADD"/>
    <w:rsid w:val="00CD442B"/>
    <w:rsid w:val="00D027E7"/>
    <w:rsid w:val="00D077A5"/>
    <w:rsid w:val="00DA6FC5"/>
    <w:rsid w:val="00DB2F5E"/>
    <w:rsid w:val="00DD0F28"/>
    <w:rsid w:val="00E15DB5"/>
    <w:rsid w:val="00E6059B"/>
    <w:rsid w:val="00EC7032"/>
    <w:rsid w:val="00EF1B23"/>
    <w:rsid w:val="00F21F8C"/>
    <w:rsid w:val="00F65246"/>
    <w:rsid w:val="00F73CF3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cp:lastPrinted>2017-02-13T14:33:00Z</cp:lastPrinted>
  <dcterms:created xsi:type="dcterms:W3CDTF">2016-11-29T19:14:00Z</dcterms:created>
  <dcterms:modified xsi:type="dcterms:W3CDTF">2017-02-13T14:34:00Z</dcterms:modified>
</cp:coreProperties>
</file>